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50"/>
        <w:tblW w:w="0" w:type="auto"/>
        <w:tblLook w:val="01E0" w:firstRow="1" w:lastRow="1" w:firstColumn="1" w:lastColumn="1" w:noHBand="0" w:noVBand="0"/>
      </w:tblPr>
      <w:tblGrid>
        <w:gridCol w:w="4523"/>
        <w:gridCol w:w="4537"/>
      </w:tblGrid>
      <w:tr w:rsidR="00F1184C" w:rsidTr="000E01A9">
        <w:tc>
          <w:tcPr>
            <w:tcW w:w="9212" w:type="dxa"/>
            <w:gridSpan w:val="2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Proje öneri formu, Mart ve Ekim Aylarının 15’ine kadar Proje Öneri Formu doldurularak 4 kopya ve CD içerisinde ilgili bölüm başkanlığı, dekanlık veya müdürlük onayı alınarak proje yürütücüsü tarafından Birim Değerlendirme Kuruluna başvuru yapılması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</w:tr>
      <w:tr w:rsidR="00F1184C" w:rsidTr="000E01A9">
        <w:tc>
          <w:tcPr>
            <w:tcW w:w="9212" w:type="dxa"/>
            <w:gridSpan w:val="2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Birim değerlendirme kurulundan gelen görüşlerin BAP Komisyonuna iletilmesi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</w:tr>
      <w:tr w:rsidR="00F1184C" w:rsidTr="000E01A9">
        <w:tc>
          <w:tcPr>
            <w:tcW w:w="9212" w:type="dxa"/>
            <w:gridSpan w:val="2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Proje önerisinde belirtilen anabilim ya</w:t>
            </w:r>
            <w:r>
              <w:rPr>
                <w:sz w:val="20"/>
                <w:szCs w:val="20"/>
              </w:rPr>
              <w:t xml:space="preserve"> </w:t>
            </w:r>
            <w:r w:rsidRPr="00965F09">
              <w:rPr>
                <w:sz w:val="20"/>
                <w:szCs w:val="20"/>
              </w:rPr>
              <w:t>da bilim dallarında akademik çalışmalarda bulunan öğretim üyelerinden komisyonca belirlenen hakemlerden yazılı görüş alınması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</w:tr>
      <w:tr w:rsidR="00F1184C" w:rsidTr="000E01A9">
        <w:tc>
          <w:tcPr>
            <w:tcW w:w="9212" w:type="dxa"/>
            <w:gridSpan w:val="2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Hakem görüşleri doğrultusunda BAP Komisyonu tarafından değerlendirilmesi (Kabul/Red)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</w:tr>
      <w:tr w:rsidR="00F1184C" w:rsidRPr="00965F09" w:rsidTr="000E01A9">
        <w:tc>
          <w:tcPr>
            <w:tcW w:w="4606" w:type="dxa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Komisyon değerlendirme raporunun BAP başkanı tarafından onaylanması ve projenin başlatılması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 Proje sözleşmesinin taraflarca imzalanması.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Proje öneri formlarının iade edilmesi</w:t>
            </w:r>
          </w:p>
        </w:tc>
      </w:tr>
      <w:tr w:rsidR="00F1184C" w:rsidTr="000E01A9">
        <w:tc>
          <w:tcPr>
            <w:tcW w:w="4606" w:type="dxa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Her altı ayda bir ara raporu verilmesi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1184C" w:rsidRDefault="00F1184C" w:rsidP="000E01A9">
            <w:pPr>
              <w:jc w:val="center"/>
            </w:pPr>
          </w:p>
        </w:tc>
      </w:tr>
      <w:tr w:rsidR="00F1184C" w:rsidTr="000E01A9">
        <w:tc>
          <w:tcPr>
            <w:tcW w:w="4606" w:type="dxa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Birim Değerlendirme Kurulunun ara raporu ile ilgili görüşünün alınması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1184C" w:rsidRDefault="00F1184C" w:rsidP="000E01A9">
            <w:pPr>
              <w:jc w:val="center"/>
            </w:pPr>
          </w:p>
        </w:tc>
      </w:tr>
      <w:tr w:rsidR="00F1184C" w:rsidTr="000E01A9">
        <w:tc>
          <w:tcPr>
            <w:tcW w:w="4606" w:type="dxa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 xml:space="preserve">BAP komisyonu tarafından incelenen ara raporların değerlendirilmek üzere hakemlere gönderilmesi. 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1184C" w:rsidRDefault="00F1184C" w:rsidP="000E01A9">
            <w:pPr>
              <w:jc w:val="center"/>
            </w:pPr>
          </w:p>
        </w:tc>
      </w:tr>
      <w:tr w:rsidR="00F1184C" w:rsidTr="000E01A9">
        <w:trPr>
          <w:trHeight w:val="1429"/>
        </w:trPr>
        <w:tc>
          <w:tcPr>
            <w:tcW w:w="4606" w:type="dxa"/>
          </w:tcPr>
          <w:p w:rsidR="00F1184C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Hakemlerden gelen değerlendirmeler doğrultusunda projenin devamına veya iptaline karar verilmesi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1184C" w:rsidRDefault="00F1184C" w:rsidP="000E01A9">
            <w:pPr>
              <w:jc w:val="center"/>
            </w:pPr>
          </w:p>
          <w:p w:rsidR="00F1184C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Projenin iptal edilmesi durumunda proje yürütücüsüne bildirerek, yönetmelikteki hükümlerin uygulanması</w:t>
            </w:r>
          </w:p>
          <w:p w:rsidR="00F1184C" w:rsidRDefault="00F1184C" w:rsidP="000E01A9">
            <w:pPr>
              <w:jc w:val="center"/>
            </w:pPr>
          </w:p>
        </w:tc>
      </w:tr>
      <w:tr w:rsidR="00F1184C" w:rsidTr="000E01A9">
        <w:tc>
          <w:tcPr>
            <w:tcW w:w="4606" w:type="dxa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Proje Yürütücüsünün proje bitiş tarihini izleyen 3 ay içinde araştırma sonuçlarını içeren sonuç raporunu Birim Değerlendirme Kuruluna sunması. (Rapora proje kapsamındaki bildiriler, yayımlanan makaleler de eklenir)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1184C" w:rsidRDefault="00F1184C" w:rsidP="000E01A9">
            <w:pPr>
              <w:jc w:val="center"/>
            </w:pPr>
          </w:p>
        </w:tc>
      </w:tr>
      <w:tr w:rsidR="00F1184C" w:rsidTr="000E01A9">
        <w:tc>
          <w:tcPr>
            <w:tcW w:w="4606" w:type="dxa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 xml:space="preserve">BAP komisyonunun Birim Değerlendirme Kurulunun sonuç raporunu göz önüne alarak projenin başarılı yada başarısız olduğuna karar verilmesi 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Başarısız bulunan projelerin, proje yöneticileri istedikleri takdirde gerekçelerini belirten bir raporla yeniden değerlend</w:t>
            </w:r>
            <w:r>
              <w:rPr>
                <w:sz w:val="20"/>
                <w:szCs w:val="20"/>
              </w:rPr>
              <w:t>irme için komisyona başvurması</w:t>
            </w:r>
            <w:r w:rsidRPr="00965F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r w:rsidRPr="00965F09">
              <w:rPr>
                <w:sz w:val="20"/>
                <w:szCs w:val="20"/>
              </w:rPr>
              <w:t>Komisyon bu durumda raporu tartışarak sonuçlandırabilir ya da iki hakem belirleyerek inceleme isteyebilir.Bundan sonraki işlem yukarıdaki yönteme göre devam ettirilir.</w:t>
            </w:r>
            <w:r>
              <w:rPr>
                <w:sz w:val="20"/>
                <w:szCs w:val="20"/>
              </w:rPr>
              <w:t>)</w:t>
            </w:r>
          </w:p>
        </w:tc>
      </w:tr>
      <w:tr w:rsidR="00F1184C" w:rsidTr="000E01A9">
        <w:tc>
          <w:tcPr>
            <w:tcW w:w="4606" w:type="dxa"/>
          </w:tcPr>
          <w:p w:rsidR="00F1184C" w:rsidRPr="00965F09" w:rsidRDefault="00F1184C" w:rsidP="000E01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Rektörlük her yılın sonunda desteklenen, kapsama alanı, devam eden ve tamamlanan projeler hakkında Yükseköğretim Kurulu Başkanlığına özet bilgi verilmesi.</w:t>
            </w:r>
          </w:p>
          <w:p w:rsidR="00F1184C" w:rsidRDefault="00F1184C" w:rsidP="000E01A9">
            <w:pPr>
              <w:jc w:val="center"/>
              <w:rPr>
                <w:sz w:val="20"/>
                <w:szCs w:val="20"/>
              </w:rPr>
            </w:pPr>
            <w:r w:rsidRPr="00965F09">
              <w:rPr>
                <w:sz w:val="20"/>
                <w:szCs w:val="20"/>
              </w:rPr>
              <w:t>Bu bilgiler internet aracılığıyla kamuoyuna duyurulması.</w:t>
            </w:r>
          </w:p>
          <w:p w:rsidR="00F1184C" w:rsidRPr="00965F09" w:rsidRDefault="00F1184C" w:rsidP="000E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1184C" w:rsidRDefault="00F1184C" w:rsidP="000E01A9">
            <w:pPr>
              <w:jc w:val="center"/>
            </w:pPr>
          </w:p>
        </w:tc>
      </w:tr>
    </w:tbl>
    <w:p w:rsidR="00661BAA" w:rsidRDefault="00661BAA"/>
    <w:p w:rsidR="00F1184C" w:rsidRDefault="00F1184C"/>
    <w:p w:rsidR="00F1184C" w:rsidRDefault="00F1184C">
      <w:bookmarkStart w:id="0" w:name="_GoBack"/>
      <w:bookmarkEnd w:id="0"/>
    </w:p>
    <w:sectPr w:rsidR="00F1184C" w:rsidSect="00F118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25" w:rsidRDefault="001C0D25" w:rsidP="00F1184C">
      <w:r>
        <w:separator/>
      </w:r>
    </w:p>
  </w:endnote>
  <w:endnote w:type="continuationSeparator" w:id="0">
    <w:p w:rsidR="001C0D25" w:rsidRDefault="001C0D25" w:rsidP="00F1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25" w:rsidRDefault="001C0D25" w:rsidP="00F1184C">
      <w:r>
        <w:separator/>
      </w:r>
    </w:p>
  </w:footnote>
  <w:footnote w:type="continuationSeparator" w:id="0">
    <w:p w:rsidR="001C0D25" w:rsidRDefault="001C0D25" w:rsidP="00F11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C"/>
    <w:rsid w:val="001C0D25"/>
    <w:rsid w:val="00661BAA"/>
    <w:rsid w:val="00F1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6D80"/>
  <w15:chartTrackingRefBased/>
  <w15:docId w15:val="{0B6F255E-707A-43CC-A11D-BC07A4C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1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18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18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18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184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2016-06-08T07:14:00Z</dcterms:created>
  <dcterms:modified xsi:type="dcterms:W3CDTF">2016-06-08T07:16:00Z</dcterms:modified>
</cp:coreProperties>
</file>